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BE" w:rsidRDefault="00D05FB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05FBE" w:rsidRDefault="00D05FBE">
      <w:pPr>
        <w:pStyle w:val="ConsPlusNormal"/>
        <w:jc w:val="both"/>
        <w:outlineLvl w:val="0"/>
      </w:pPr>
    </w:p>
    <w:p w:rsidR="00D05FBE" w:rsidRDefault="00D05FB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05FBE" w:rsidRDefault="00D05FBE">
      <w:pPr>
        <w:pStyle w:val="ConsPlusTitle"/>
        <w:jc w:val="center"/>
      </w:pPr>
    </w:p>
    <w:p w:rsidR="00D05FBE" w:rsidRDefault="00D05FBE">
      <w:pPr>
        <w:pStyle w:val="ConsPlusTitle"/>
        <w:jc w:val="center"/>
      </w:pPr>
      <w:r>
        <w:t>РАСПОРЯЖЕНИЕ</w:t>
      </w:r>
    </w:p>
    <w:p w:rsidR="00D05FBE" w:rsidRDefault="00D05FBE">
      <w:pPr>
        <w:pStyle w:val="ConsPlusTitle"/>
        <w:jc w:val="center"/>
      </w:pPr>
      <w:r>
        <w:t>от 10 сентября 2021 г. N 2526-р</w:t>
      </w: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ind w:firstLine="540"/>
        <w:jc w:val="both"/>
      </w:pPr>
      <w:r>
        <w:t xml:space="preserve">1. В соответствии с </w:t>
      </w:r>
      <w:hyperlink r:id="rId6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определить особенности осуществляемых Минпромторгом России в 2021 году закупок музыкальных инструментов для оснащения детских школ искусств (далее - закупки):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 xml:space="preserve">а) закупки осуществляются путем проведения открытых конкурсов в электронной форме (далее - конкурсы) в соответствии с положениями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с учетом особенностей, установленных настоящим распоряжением;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 xml:space="preserve">б) объекты закупок, в отношении которых проводятся конкурсы, определяются по перечню согласно </w:t>
      </w:r>
      <w:hyperlink w:anchor="P52" w:history="1">
        <w:r>
          <w:rPr>
            <w:color w:val="0000FF"/>
          </w:rPr>
          <w:t>приложению N 1</w:t>
        </w:r>
      </w:hyperlink>
      <w:r>
        <w:t>;</w:t>
      </w:r>
    </w:p>
    <w:p w:rsidR="00D05FBE" w:rsidRDefault="00D05FBE">
      <w:pPr>
        <w:pStyle w:val="ConsPlusNormal"/>
        <w:spacing w:before="220"/>
        <w:ind w:firstLine="540"/>
        <w:jc w:val="both"/>
      </w:pPr>
      <w:bookmarkStart w:id="0" w:name="P9"/>
      <w:bookmarkEnd w:id="0"/>
      <w:proofErr w:type="gramStart"/>
      <w:r>
        <w:t xml:space="preserve">в) при проведении конкурсов к участникам конкурса предъявляются такие дополнительные требования, как осуществление участником закупки на территории Российской Федерации технологических операций при производстве музыкальных инструментов, которые оцениваются совокупностью количества баллов, а также соблюдение процентной доли стоимости использованных при производстве музыкального инструмента иностранных товаров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</w:t>
      </w:r>
      <w:proofErr w:type="gramEnd"/>
      <w:r>
        <w:t xml:space="preserve"> промышленной продукции на территории Российской Федерации";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 xml:space="preserve">г) дополнительные требования, указанные в </w:t>
      </w:r>
      <w:hyperlink w:anchor="P9" w:history="1">
        <w:r>
          <w:rPr>
            <w:color w:val="0000FF"/>
          </w:rPr>
          <w:t>подпункте "в"</w:t>
        </w:r>
      </w:hyperlink>
      <w:r>
        <w:t xml:space="preserve"> настоящего пункта, не могут использоваться в качестве критерия оценки заявок на участие в конкурсе;</w:t>
      </w:r>
    </w:p>
    <w:p w:rsidR="00D05FBE" w:rsidRDefault="00D05FBE">
      <w:pPr>
        <w:pStyle w:val="ConsPlusNormal"/>
        <w:spacing w:before="220"/>
        <w:ind w:firstLine="540"/>
        <w:jc w:val="both"/>
      </w:pPr>
      <w:proofErr w:type="gramStart"/>
      <w:r>
        <w:t xml:space="preserve">д) извещение о проведении конкурса и конкурсная документация наряду с информацией, предусмотренной </w:t>
      </w:r>
      <w:hyperlink r:id="rId9" w:history="1">
        <w:r>
          <w:rPr>
            <w:color w:val="0000FF"/>
          </w:rPr>
          <w:t>статьями 54.2</w:t>
        </w:r>
      </w:hyperlink>
      <w:r>
        <w:t xml:space="preserve"> и </w:t>
      </w:r>
      <w:hyperlink r:id="rId10" w:history="1">
        <w:r>
          <w:rPr>
            <w:color w:val="0000FF"/>
          </w:rPr>
          <w:t>54.3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должны содержать указание на установленные в соответствии с </w:t>
      </w:r>
      <w:hyperlink w:anchor="P9" w:history="1">
        <w:r>
          <w:rPr>
            <w:color w:val="0000FF"/>
          </w:rPr>
          <w:t>подпунктом "в"</w:t>
        </w:r>
      </w:hyperlink>
      <w:r>
        <w:t xml:space="preserve"> настоящего пункта дополнительные требования к участникам конкурса;</w:t>
      </w:r>
      <w:proofErr w:type="gramEnd"/>
    </w:p>
    <w:p w:rsidR="00D05FBE" w:rsidRDefault="00D05FBE">
      <w:pPr>
        <w:pStyle w:val="ConsPlusNormal"/>
        <w:spacing w:before="220"/>
        <w:ind w:firstLine="540"/>
        <w:jc w:val="both"/>
      </w:pPr>
      <w:proofErr w:type="gramStart"/>
      <w:r>
        <w:t xml:space="preserve">е) вторая часть заявки на участие в конкурсе наряду с информацией и электронными документами, предусмотренными </w:t>
      </w:r>
      <w:hyperlink r:id="rId11" w:history="1">
        <w:r>
          <w:rPr>
            <w:color w:val="0000FF"/>
          </w:rPr>
          <w:t>частью 6 статьи 54.4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должна содержать акт экспертизы Торгово-промышленной палаты Российской Федерации о соответствии производимой промышленной продукции требованиям к промышленной продукции, предъявляемым в целях ее отнесения к продукции</w:t>
      </w:r>
      <w:proofErr w:type="gramEnd"/>
      <w:r>
        <w:t xml:space="preserve">, произведенной на территории Российской Федерации, содержащий информацию о совокупном количестве баллов за фактическое выполнение на территории Российской Федерации соответствующих операций, 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Федерации", а при отсутствии указанного акта экспертизы:</w:t>
      </w:r>
    </w:p>
    <w:p w:rsidR="00D05FBE" w:rsidRDefault="00D05FBE">
      <w:pPr>
        <w:pStyle w:val="ConsPlusNormal"/>
        <w:spacing w:before="220"/>
        <w:ind w:firstLine="540"/>
        <w:jc w:val="both"/>
      </w:pPr>
      <w:proofErr w:type="gramStart"/>
      <w:r>
        <w:t xml:space="preserve">при осуществлении участником закупки на территории Российской Федерации технологических операций при производстве музыкальных инструментов в соответствии с </w:t>
      </w:r>
      <w:hyperlink w:anchor="P9" w:history="1">
        <w:r>
          <w:rPr>
            <w:color w:val="0000FF"/>
          </w:rPr>
          <w:t>подпунктом</w:t>
        </w:r>
        <w:proofErr w:type="gramEnd"/>
        <w:r>
          <w:rPr>
            <w:color w:val="0000FF"/>
          </w:rPr>
          <w:t xml:space="preserve"> "в"</w:t>
        </w:r>
      </w:hyperlink>
      <w:r>
        <w:t xml:space="preserve"> настоящего пункта - следующие документы: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 xml:space="preserve">заверенные уполномоченным лицом участника конкурса копии свидетельств о праве </w:t>
      </w:r>
      <w:r>
        <w:lastRenderedPageBreak/>
        <w:t>собственности, или копии выписок из Единого государственного реестра недвижимости, или копии договоров аренды и актов приема-передачи производственных площадей;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перечень производственного оборудования, оснастки, сгруппированный по видам осуществляемых (выполняемых) технологических операций;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балансовая справка или копии договора аренды и акта приема-передачи оборудования;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справка о списочной численности производственного, вспомогательного и инженерно-технического персонала с указанием должностей;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справка о деятельности участника конкурса в соответствии с формой, указанной в конкурсной документации;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комплект конструкторской документации, включающий чертежи общего вида изделия (при наличии сборочных операций), сборочные чертежи изделия, чертежи деталей, ведомость спецификаций, спецификации на изделие и составные части, а также иные конструкторские документы;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комплект технологической документации, включающий технологические инструкции и (или) маршрутные карты технологического процесса или иные технологические документы, полностью и однозначно определяющие технологический процесс изготовления промышленной продукции (ее составных частей, компонентов);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перечень производственных и технологических операций по производству заявленной промышленной продукции, выполняемых участником конкурса на территории Российской Федерации;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перечень производственных и технологических операций по производству заявленной промышленной продукции, выполняемых на территории Российской Федерации хозяйствующими субъектами в соответствии с заключенными с участником конкурса договорами об оказании услуг (о выполнении работ, подряда), с приложением копий указанных договоров и соответствующей первичной учетной документации;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 xml:space="preserve">при соблюдении процентной доли стоимости использованных при производстве музыкального инструмента иностранных товаров в соответствии с </w:t>
      </w:r>
      <w:hyperlink w:anchor="P9" w:history="1">
        <w:r>
          <w:rPr>
            <w:color w:val="0000FF"/>
          </w:rPr>
          <w:t>подпунктом "в"</w:t>
        </w:r>
      </w:hyperlink>
      <w:r>
        <w:t xml:space="preserve"> настоящего пункта - следующие документы: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перечень материалов (сырья), используемых при изготовлении комплектующих, с указанием страны их происхождения и весовых характеристик;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копии договоров и первичных учетных документов, подтверждающих закупку материалов (сырья), используемых при производстве комплектующих;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калькуляция цены единицы промышленной продукции на условиях франко-завод предприятия-изготовителя;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копии бухгалтерских документов, подтверждающих расходы, связанные с производством конечной промышленной продукции, подлежащие включению в расчет цены конечной продукции на условиях франко-завод;</w:t>
      </w:r>
    </w:p>
    <w:p w:rsidR="00D05FBE" w:rsidRDefault="00D05FBE">
      <w:pPr>
        <w:pStyle w:val="ConsPlusNormal"/>
        <w:spacing w:before="220"/>
        <w:ind w:firstLine="540"/>
        <w:jc w:val="both"/>
      </w:pPr>
      <w:proofErr w:type="gramStart"/>
      <w:r>
        <w:t xml:space="preserve">ж) Минпромторгу России по результатам проведения конкурсов на основании распределения музыкальных инструментов по субъектам Российской Федерации согласно </w:t>
      </w:r>
      <w:hyperlink w:anchor="P100" w:history="1">
        <w:r>
          <w:rPr>
            <w:color w:val="0000FF"/>
          </w:rPr>
          <w:t>приложению N 2</w:t>
        </w:r>
      </w:hyperlink>
      <w:r>
        <w:t xml:space="preserve"> заключить государственные контракты на поставку музыкальных инструментов, включая услуги по их доставке конечным потребителям в субъектах Российской Федерации, предусмотрев в них дополнительное условие об обязательствах исполнителя государственного </w:t>
      </w:r>
      <w:r>
        <w:lastRenderedPageBreak/>
        <w:t>контракта на поставку музыкальных инструментов о выполнении технологических операций, об уменьшении процентной доли</w:t>
      </w:r>
      <w:proofErr w:type="gramEnd"/>
      <w:r>
        <w:t xml:space="preserve"> стоимости использованных при производстве иностранных товаров согласно </w:t>
      </w:r>
      <w:hyperlink r:id="rId13" w:history="1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по состоянию на 1 января 2022 г.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 xml:space="preserve">2. Минкультуры России на основании информации, предусмотренной </w:t>
      </w:r>
      <w:hyperlink w:anchor="P100" w:history="1">
        <w:r>
          <w:rPr>
            <w:color w:val="0000FF"/>
          </w:rPr>
          <w:t>приложением N 2</w:t>
        </w:r>
      </w:hyperlink>
      <w:r>
        <w:t xml:space="preserve"> к настоящему распоряжению, в течение 3 рабочих дней со дня вступления настоящего распоряжения в силу направить в Минпромторг России перечень адресов конечных потребителей с распределением количества музыкальных инструментов, поставляемых конечным потребителям.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Минпромторгу России на основании распределения музыкальных инструментов по субъектам Российской Федерации, предусмотренного </w:t>
      </w:r>
      <w:hyperlink w:anchor="P100" w:history="1">
        <w:r>
          <w:rPr>
            <w:color w:val="0000FF"/>
          </w:rPr>
          <w:t>приложением N 2</w:t>
        </w:r>
      </w:hyperlink>
      <w:r>
        <w:t xml:space="preserve"> к настоящему распоряжению, заключить соглашения с высшими исполнительными органами государственной власти субъектов Российской Федерации, получателями в субъектах Российской Федерации, уполномоченными высшими исполнительными органами государственной власти субъектов Российской Федерации на получение музыкальных инструментов (далее - получатели), и исполнителями государственных контрактов, предусмотрев в них следующие существенные условия:</w:t>
      </w:r>
      <w:proofErr w:type="gramEnd"/>
    </w:p>
    <w:p w:rsidR="00D05FBE" w:rsidRDefault="00D05FBE">
      <w:pPr>
        <w:pStyle w:val="ConsPlusNormal"/>
        <w:spacing w:before="220"/>
        <w:ind w:firstLine="540"/>
        <w:jc w:val="both"/>
      </w:pPr>
      <w:r>
        <w:t>а) осуществление получателем приемки музыкальных инструментов в соответствии с условиями соглашения;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б) осуществление получателем установки и настройки музыкальных инструментов;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в) обеспечение получателем соблюдения требований по хранению и эксплуатации полученных музыкальных инструментов;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г) возникновение права собственности субъекта Российской Федерации на музыкальные инструменты с даты их передачи на основании актов приема-передачи, подписанных исполнителями государственных контрактов и получателями.</w:t>
      </w:r>
    </w:p>
    <w:p w:rsidR="00D05FBE" w:rsidRDefault="00D05FBE">
      <w:pPr>
        <w:pStyle w:val="ConsPlusNormal"/>
        <w:spacing w:before="220"/>
        <w:ind w:firstLine="540"/>
        <w:jc w:val="both"/>
      </w:pPr>
      <w:r>
        <w:t>4. Рекомендовать высшим исполнительным органам государственной власти субъектов Российской Федерации:</w:t>
      </w:r>
    </w:p>
    <w:p w:rsidR="00D05FBE" w:rsidRDefault="00D05FBE">
      <w:pPr>
        <w:pStyle w:val="ConsPlusNormal"/>
        <w:spacing w:before="220"/>
        <w:ind w:firstLine="540"/>
        <w:jc w:val="both"/>
      </w:pPr>
      <w:proofErr w:type="gramStart"/>
      <w:r>
        <w:t>а) обеспечить заключение соглашений в соответствии с настоящим распоряжением в течение 3 рабочих дней со дня поступления уведомления Минпромторга России о готовности заключить соглашение;</w:t>
      </w:r>
      <w:proofErr w:type="gramEnd"/>
    </w:p>
    <w:p w:rsidR="00D05FBE" w:rsidRDefault="00D05FBE">
      <w:pPr>
        <w:pStyle w:val="ConsPlusNormal"/>
        <w:spacing w:before="220"/>
        <w:ind w:firstLine="540"/>
        <w:jc w:val="both"/>
      </w:pPr>
      <w:r>
        <w:t>б) обеспечить регистрацию и учет в реестрах государственного имущества субъектов Российской Федерации в установленном порядке музыкальных инструментов, поставляемых в соответствии с настоящим распоряжением конечным потребителям в субъектах Российской Федерации.</w:t>
      </w: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right"/>
      </w:pPr>
      <w:r>
        <w:t>Председатель Правительства</w:t>
      </w:r>
    </w:p>
    <w:p w:rsidR="00D05FBE" w:rsidRDefault="00D05FBE">
      <w:pPr>
        <w:pStyle w:val="ConsPlusNormal"/>
        <w:jc w:val="right"/>
      </w:pPr>
      <w:r>
        <w:t>Российской Федерации</w:t>
      </w:r>
    </w:p>
    <w:p w:rsidR="00D05FBE" w:rsidRDefault="00D05FBE">
      <w:pPr>
        <w:pStyle w:val="ConsPlusNormal"/>
        <w:jc w:val="right"/>
      </w:pPr>
      <w:r>
        <w:t>М.МИШУСТИН</w:t>
      </w: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right"/>
        <w:outlineLvl w:val="0"/>
      </w:pPr>
      <w:r>
        <w:t>Приложение N 1</w:t>
      </w:r>
    </w:p>
    <w:p w:rsidR="00D05FBE" w:rsidRDefault="00D05FBE">
      <w:pPr>
        <w:pStyle w:val="ConsPlusNormal"/>
        <w:jc w:val="right"/>
      </w:pPr>
      <w:r>
        <w:t>к распоряжению Правительства</w:t>
      </w:r>
    </w:p>
    <w:p w:rsidR="00D05FBE" w:rsidRDefault="00D05FBE">
      <w:pPr>
        <w:pStyle w:val="ConsPlusNormal"/>
        <w:jc w:val="right"/>
      </w:pPr>
      <w:r>
        <w:lastRenderedPageBreak/>
        <w:t>Российской Федерации</w:t>
      </w:r>
    </w:p>
    <w:p w:rsidR="00D05FBE" w:rsidRDefault="00D05FBE">
      <w:pPr>
        <w:pStyle w:val="ConsPlusNormal"/>
        <w:jc w:val="right"/>
      </w:pPr>
      <w:r>
        <w:t>от 10 сентября 2021 г. N 2526-р</w:t>
      </w: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Title"/>
        <w:jc w:val="center"/>
      </w:pPr>
      <w:bookmarkStart w:id="1" w:name="P52"/>
      <w:bookmarkEnd w:id="1"/>
      <w:r>
        <w:t>ПЕРЕЧЕНЬ ОБЪЕКТОВ ЗАКУПКИ</w:t>
      </w:r>
    </w:p>
    <w:p w:rsidR="00D05FBE" w:rsidRDefault="00D05F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2410"/>
      </w:tblGrid>
      <w:tr w:rsidR="00D05FBE"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5FBE" w:rsidRDefault="00D05FBE">
            <w:pPr>
              <w:pStyle w:val="ConsPlusNormal"/>
              <w:jc w:val="center"/>
            </w:pPr>
            <w:r>
              <w:t>Объект закупки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 xml:space="preserve">Код по </w:t>
            </w:r>
            <w:hyperlink r:id="rId14" w:history="1">
              <w:proofErr w:type="gramStart"/>
              <w:r>
                <w:rPr>
                  <w:color w:val="0000FF"/>
                </w:rPr>
                <w:t>ОК</w:t>
              </w:r>
              <w:proofErr w:type="gramEnd"/>
              <w:r>
                <w:rPr>
                  <w:color w:val="0000FF"/>
                </w:rPr>
                <w:t xml:space="preserve"> 034-2014 (КПЕС 2008)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Пианино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32.20.11.120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outlineLvl w:val="1"/>
            </w:pPr>
            <w:r>
              <w:t>Набор медных духовых музыкальных инструментов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труба - 4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32.20.13.161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тенор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32.20.13.164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баритон - 1 штука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32.20.13.165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туба - 1 штука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32.20.13.166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валторна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32.20.13.167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тромбон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32.20.13.168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outlineLvl w:val="1"/>
            </w:pPr>
            <w:r>
              <w:t>Набор деревянных духовых музыкальных инструментов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флейта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32.20.13.173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кларнет - 3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32.20.13.174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саксофон-альт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32.20.13.175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гобой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32.20.13.176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ind w:firstLine="283"/>
              <w:jc w:val="both"/>
            </w:pPr>
            <w:r>
              <w:t>фагот - 1 штука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32.20.13.177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Ксилофоны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32.20.15.110</w:t>
              </w:r>
            </w:hyperlink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</w:pPr>
            <w:r>
              <w:t>Набор барабанов</w:t>
            </w:r>
          </w:p>
          <w:p w:rsidR="00D05FBE" w:rsidRDefault="00D05FBE">
            <w:pPr>
              <w:pStyle w:val="ConsPlusNormal"/>
              <w:ind w:firstLine="283"/>
              <w:jc w:val="both"/>
            </w:pPr>
            <w:r>
              <w:t>малый маршевый барабан - 1 штука</w:t>
            </w:r>
          </w:p>
          <w:p w:rsidR="00D05FBE" w:rsidRDefault="00D05FBE">
            <w:pPr>
              <w:pStyle w:val="ConsPlusNormal"/>
              <w:ind w:firstLine="283"/>
              <w:jc w:val="both"/>
            </w:pPr>
            <w:r>
              <w:t>большой маршевый барабан - 1 штука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32.20.15.110</w:t>
              </w:r>
            </w:hyperlink>
          </w:p>
        </w:tc>
      </w:tr>
    </w:tbl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right"/>
        <w:outlineLvl w:val="0"/>
      </w:pPr>
      <w:r>
        <w:t>Приложение N 2</w:t>
      </w:r>
    </w:p>
    <w:p w:rsidR="00D05FBE" w:rsidRDefault="00D05FBE">
      <w:pPr>
        <w:pStyle w:val="ConsPlusNormal"/>
        <w:jc w:val="right"/>
      </w:pPr>
      <w:r>
        <w:t>к распоряжению Правительства</w:t>
      </w:r>
    </w:p>
    <w:p w:rsidR="00D05FBE" w:rsidRDefault="00D05FBE">
      <w:pPr>
        <w:pStyle w:val="ConsPlusNormal"/>
        <w:jc w:val="right"/>
      </w:pPr>
      <w:r>
        <w:t>Российской Федерации</w:t>
      </w:r>
    </w:p>
    <w:p w:rsidR="00D05FBE" w:rsidRDefault="00D05FBE">
      <w:pPr>
        <w:pStyle w:val="ConsPlusNormal"/>
        <w:jc w:val="right"/>
      </w:pPr>
      <w:r>
        <w:t>от 10 сентября 2021 г. N 2526-р</w:t>
      </w: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Title"/>
        <w:jc w:val="center"/>
      </w:pPr>
      <w:bookmarkStart w:id="2" w:name="P100"/>
      <w:bookmarkEnd w:id="2"/>
      <w:r>
        <w:t>РАСПРЕДЕЛЕНИЕ</w:t>
      </w:r>
    </w:p>
    <w:p w:rsidR="00D05FBE" w:rsidRDefault="00D05FBE">
      <w:pPr>
        <w:pStyle w:val="ConsPlusTitle"/>
        <w:jc w:val="center"/>
      </w:pPr>
      <w:r>
        <w:t>МУЗЫКАЛЬНЫХ ИНСТРУМЕНТОВ ПО СУБЪЕКТАМ РОССИЙСКОЙ ФЕДЕРАЦИИ</w:t>
      </w:r>
    </w:p>
    <w:p w:rsidR="00D05FBE" w:rsidRDefault="00D05F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5"/>
        <w:gridCol w:w="810"/>
        <w:gridCol w:w="675"/>
        <w:gridCol w:w="1081"/>
        <w:gridCol w:w="1275"/>
        <w:gridCol w:w="644"/>
        <w:gridCol w:w="760"/>
      </w:tblGrid>
      <w:tr w:rsidR="00D05FBE">
        <w:tc>
          <w:tcPr>
            <w:tcW w:w="38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5FBE" w:rsidRDefault="00D05FBE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5FBE" w:rsidRDefault="00D05FBE">
            <w:pPr>
              <w:pStyle w:val="ConsPlusNormal"/>
              <w:jc w:val="center"/>
            </w:pPr>
            <w:r>
              <w:t>Количе</w:t>
            </w:r>
            <w:r>
              <w:lastRenderedPageBreak/>
              <w:t>ство музыкальных инструментов (не менее)</w:t>
            </w:r>
          </w:p>
        </w:tc>
        <w:tc>
          <w:tcPr>
            <w:tcW w:w="443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lastRenderedPageBreak/>
              <w:t>Наименование музыкального инструмента</w:t>
            </w:r>
          </w:p>
        </w:tc>
      </w:tr>
      <w:tr w:rsidR="00D05FBE">
        <w:tc>
          <w:tcPr>
            <w:tcW w:w="38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5FBE" w:rsidRDefault="00D05FBE"/>
        </w:tc>
        <w:tc>
          <w:tcPr>
            <w:tcW w:w="8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5FBE" w:rsidRDefault="00D05FBE"/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D05FBE" w:rsidRDefault="00D05FBE">
            <w:pPr>
              <w:pStyle w:val="ConsPlusNormal"/>
              <w:jc w:val="center"/>
            </w:pPr>
            <w:r>
              <w:t>Пианино (не менее)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D05FBE" w:rsidRDefault="00D05FBE">
            <w:pPr>
              <w:pStyle w:val="ConsPlusNormal"/>
              <w:jc w:val="center"/>
            </w:pPr>
            <w:r>
              <w:t>Наборы медных духовых музыкальных инструментов (не менее)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05FBE" w:rsidRDefault="00D05FBE">
            <w:pPr>
              <w:pStyle w:val="ConsPlusNormal"/>
              <w:jc w:val="center"/>
            </w:pPr>
            <w:r>
              <w:t>Наборы деревянных духовых музыкальных инструментов (не менее)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D05FBE" w:rsidRDefault="00D05FBE">
            <w:pPr>
              <w:pStyle w:val="ConsPlusNormal"/>
              <w:jc w:val="center"/>
            </w:pPr>
            <w:r>
              <w:t>Ксилофоны (не менее)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Наборы барабанов (не менее)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lastRenderedPageBreak/>
              <w:t>Республика Алтай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19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8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19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4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Республика Коми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7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12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Пермский край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Приморский край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16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9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lastRenderedPageBreak/>
              <w:t>Новгородская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Омская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8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15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24</w:t>
            </w:r>
          </w:p>
        </w:tc>
      </w:tr>
      <w:tr w:rsidR="00D05FB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FBE" w:rsidRDefault="00D05FBE">
            <w:pPr>
              <w:pStyle w:val="ConsPlusNormal"/>
              <w:jc w:val="center"/>
            </w:pPr>
            <w:r>
              <w:t>13</w:t>
            </w:r>
          </w:p>
        </w:tc>
      </w:tr>
    </w:tbl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jc w:val="both"/>
      </w:pPr>
    </w:p>
    <w:p w:rsidR="00D05FBE" w:rsidRDefault="00D05F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16E3" w:rsidRDefault="007C16E3">
      <w:bookmarkStart w:id="3" w:name="_GoBack"/>
      <w:bookmarkEnd w:id="3"/>
    </w:p>
    <w:sectPr w:rsidR="007C16E3" w:rsidSect="00CC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BE"/>
    <w:rsid w:val="007C16E3"/>
    <w:rsid w:val="00D0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5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5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5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AF8782F82FC3F3C345DB0714EDE776A145E1DE595990B9D8AB2D091C252AE2925128671444B5A4A9A0AF1D02q4N0M" TargetMode="External"/><Relationship Id="rId13" Type="http://schemas.openxmlformats.org/officeDocument/2006/relationships/hyperlink" Target="consultantplus://offline/ref=B0AF8782F82FC3F3C345DB0714EDE776A145E1DE595990B9D8AB2D091C252AE2925128671444B5A4A9A0AF1D02q4N0M" TargetMode="External"/><Relationship Id="rId18" Type="http://schemas.openxmlformats.org/officeDocument/2006/relationships/hyperlink" Target="consultantplus://offline/ref=B0AF8782F82FC3F3C345DB0714EDE776A145ECD2555A90B9D8AB2D091C252AE28051706B1748ABADADB5F94C441417B531E712545B4014D6q5NAM" TargetMode="External"/><Relationship Id="rId26" Type="http://schemas.openxmlformats.org/officeDocument/2006/relationships/hyperlink" Target="consultantplus://offline/ref=B0AF8782F82FC3F3C345DB0714EDE776A145ECD2555A90B9D8AB2D091C252AE28051706B1748AAA5ADB5F94C441417B531E712545B4014D6q5N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0AF8782F82FC3F3C345DB0714EDE776A145ECD2555A90B9D8AB2D091C252AE28051706B1748ABACA9B5F94C441417B531E712545B4014D6q5NAM" TargetMode="External"/><Relationship Id="rId7" Type="http://schemas.openxmlformats.org/officeDocument/2006/relationships/hyperlink" Target="consultantplus://offline/ref=B0AF8782F82FC3F3C345DB0714EDE776A144ECD35D5090B9D8AB2D091C252AE2925128671444B5A4A9A0AF1D02q4N0M" TargetMode="External"/><Relationship Id="rId12" Type="http://schemas.openxmlformats.org/officeDocument/2006/relationships/hyperlink" Target="consultantplus://offline/ref=B0AF8782F82FC3F3C345DB0714EDE776A145E1DE595990B9D8AB2D091C252AE2925128671444B5A4A9A0AF1D02q4N0M" TargetMode="External"/><Relationship Id="rId17" Type="http://schemas.openxmlformats.org/officeDocument/2006/relationships/hyperlink" Target="consultantplus://offline/ref=B0AF8782F82FC3F3C345DB0714EDE776A145ECD2555A90B9D8AB2D091C252AE28051706B1748ABADABB5F94C441417B531E712545B4014D6q5NAM" TargetMode="External"/><Relationship Id="rId25" Type="http://schemas.openxmlformats.org/officeDocument/2006/relationships/hyperlink" Target="consultantplus://offline/ref=B0AF8782F82FC3F3C345DB0714EDE776A145ECD2555A90B9D8AB2D091C252AE28051706B1748AAA5ABB5F94C441417B531E712545B4014D6q5N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0AF8782F82FC3F3C345DB0714EDE776A145ECD2555A90B9D8AB2D091C252AE28051706B1748ABA2AFB5F94C441417B531E712545B4014D6q5NAM" TargetMode="External"/><Relationship Id="rId20" Type="http://schemas.openxmlformats.org/officeDocument/2006/relationships/hyperlink" Target="consultantplus://offline/ref=B0AF8782F82FC3F3C345DB0714EDE776A145ECD2555A90B9D8AB2D091C252AE28051706B1748ABADA1B5F94C441417B531E712545B4014D6q5NA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AF8782F82FC3F3C345DB0714EDE776A144ECD35D5090B9D8AB2D091C252AE28051706B154CADA5AFB5F94C441417B531E712545B4014D6q5NAM" TargetMode="External"/><Relationship Id="rId11" Type="http://schemas.openxmlformats.org/officeDocument/2006/relationships/hyperlink" Target="consultantplus://offline/ref=B0AF8782F82FC3F3C345DB0714EDE776A144ECD35D5090B9D8AB2D091C252AE28051706F124AA0F1F9FAF810014804B539E7115547q4N3M" TargetMode="External"/><Relationship Id="rId24" Type="http://schemas.openxmlformats.org/officeDocument/2006/relationships/hyperlink" Target="consultantplus://offline/ref=B0AF8782F82FC3F3C345DB0714EDE776A145ECD2555A90B9D8AB2D091C252AE28051706B1748AAA5A9B5F94C441417B531E712545B4014D6q5NA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0AF8782F82FC3F3C345DB0714EDE776A145ECD2555A90B9D8AB2D091C252AE28051706B1748ABA4A1B5F94C441417B531E712545B4014D6q5NAM" TargetMode="External"/><Relationship Id="rId23" Type="http://schemas.openxmlformats.org/officeDocument/2006/relationships/hyperlink" Target="consultantplus://offline/ref=B0AF8782F82FC3F3C345DB0714EDE776A145ECD2555A90B9D8AB2D091C252AE28051706B1748ABACA1B5F94C441417B531E712545B4014D6q5NAM" TargetMode="External"/><Relationship Id="rId28" Type="http://schemas.openxmlformats.org/officeDocument/2006/relationships/hyperlink" Target="consultantplus://offline/ref=B0AF8782F82FC3F3C345DB0714EDE776A145ECD2555A90B9D8AB2D091C252AE28051706B1748AAA7A1B5F94C441417B531E712545B4014D6q5NAM" TargetMode="External"/><Relationship Id="rId10" Type="http://schemas.openxmlformats.org/officeDocument/2006/relationships/hyperlink" Target="consultantplus://offline/ref=B0AF8782F82FC3F3C345DB0714EDE776A144ECD35D5090B9D8AB2D091C252AE28051706F114FA0F1F9FAF810014804B539E7115547q4N3M" TargetMode="External"/><Relationship Id="rId19" Type="http://schemas.openxmlformats.org/officeDocument/2006/relationships/hyperlink" Target="consultantplus://offline/ref=B0AF8782F82FC3F3C345DB0714EDE776A145ECD2555A90B9D8AB2D091C252AE28051706B1748ABADAFB5F94C441417B531E712545B4014D6q5N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AF8782F82FC3F3C345DB0714EDE776A144ECD35D5090B9D8AB2D091C252AE28051706F164CA0F1F9FAF810014804B539E7115547q4N3M" TargetMode="External"/><Relationship Id="rId14" Type="http://schemas.openxmlformats.org/officeDocument/2006/relationships/hyperlink" Target="consultantplus://offline/ref=B0AF8782F82FC3F3C345DB0714EDE776A145ECD2555A90B9D8AB2D091C252AE2925128671444B5A4A9A0AF1D02q4N0M" TargetMode="External"/><Relationship Id="rId22" Type="http://schemas.openxmlformats.org/officeDocument/2006/relationships/hyperlink" Target="consultantplus://offline/ref=B0AF8782F82FC3F3C345DB0714EDE776A145ECD2555A90B9D8AB2D091C252AE28051706B1748ABACAFB5F94C441417B531E712545B4014D6q5NAM" TargetMode="External"/><Relationship Id="rId27" Type="http://schemas.openxmlformats.org/officeDocument/2006/relationships/hyperlink" Target="consultantplus://offline/ref=B0AF8782F82FC3F3C345DB0714EDE776A145ECD2555A90B9D8AB2D091C252AE28051706B1748AAA7A1B5F94C441417B531E712545B4014D6q5NA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2021-11-19T12:13:00Z</dcterms:created>
  <dcterms:modified xsi:type="dcterms:W3CDTF">2021-11-19T12:13:00Z</dcterms:modified>
</cp:coreProperties>
</file>